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9C70" w14:textId="4A705959" w:rsidR="001E3A46" w:rsidRPr="002A73F9" w:rsidRDefault="002A73F9" w:rsidP="002A73F9">
      <w:pPr>
        <w:shd w:val="clear" w:color="auto" w:fill="000000" w:themeFill="text1"/>
        <w:rPr>
          <w:rFonts w:ascii="Arial Narrow" w:hAnsi="Arial Narrow"/>
          <w:b/>
          <w:bCs/>
          <w:sz w:val="20"/>
          <w:szCs w:val="20"/>
        </w:rPr>
      </w:pPr>
      <w:r w:rsidRPr="002A73F9">
        <w:rPr>
          <w:rFonts w:ascii="Arial Narrow" w:hAnsi="Arial Narrow"/>
          <w:b/>
          <w:bCs/>
          <w:sz w:val="20"/>
          <w:szCs w:val="20"/>
        </w:rPr>
        <w:t>Youth Cannabis Use</w:t>
      </w:r>
      <w:r w:rsidR="00B718C2">
        <w:rPr>
          <w:rFonts w:ascii="Arial Narrow" w:hAnsi="Arial Narrow"/>
          <w:b/>
          <w:bCs/>
          <w:sz w:val="20"/>
          <w:szCs w:val="20"/>
        </w:rPr>
        <w:t xml:space="preserve">: </w:t>
      </w:r>
      <w:r w:rsidR="00B718C2" w:rsidRPr="002A73F9">
        <w:rPr>
          <w:rFonts w:ascii="Arial Narrow" w:hAnsi="Arial Narrow"/>
          <w:b/>
          <w:bCs/>
          <w:sz w:val="20"/>
          <w:szCs w:val="20"/>
        </w:rPr>
        <w:t>Prevention and Intervention</w:t>
      </w:r>
    </w:p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2970"/>
        <w:gridCol w:w="270"/>
        <w:gridCol w:w="3600"/>
        <w:gridCol w:w="270"/>
        <w:gridCol w:w="2520"/>
        <w:gridCol w:w="236"/>
        <w:gridCol w:w="2464"/>
      </w:tblGrid>
      <w:tr w:rsidR="00A241AF" w:rsidRPr="00A241AF" w14:paraId="1ADBBB24" w14:textId="77777777" w:rsidTr="002B2DC3">
        <w:tc>
          <w:tcPr>
            <w:tcW w:w="1980" w:type="dxa"/>
            <w:shd w:val="clear" w:color="auto" w:fill="FBE4D5" w:themeFill="accent2" w:themeFillTint="33"/>
          </w:tcPr>
          <w:p w14:paraId="6E1F2996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70" w:type="dxa"/>
          </w:tcPr>
          <w:p w14:paraId="3C8B4279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 w:themeFill="accent2" w:themeFillTint="66"/>
          </w:tcPr>
          <w:p w14:paraId="4581F3D9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0" w:type="dxa"/>
          </w:tcPr>
          <w:p w14:paraId="2574A825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076364E4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70" w:type="dxa"/>
          </w:tcPr>
          <w:p w14:paraId="0B224351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C7D2EA7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36" w:type="dxa"/>
          </w:tcPr>
          <w:p w14:paraId="2973874C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501A4527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</w:t>
            </w:r>
          </w:p>
        </w:tc>
      </w:tr>
      <w:tr w:rsidR="00A241AF" w:rsidRPr="00A241AF" w14:paraId="1C62BB5F" w14:textId="77777777" w:rsidTr="002B2DC3">
        <w:tc>
          <w:tcPr>
            <w:tcW w:w="1980" w:type="dxa"/>
          </w:tcPr>
          <w:p w14:paraId="7AA722F9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F5B4EC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2AB55A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7BFBA9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972648C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884D1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032DEB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058F26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D518B88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241AF" w:rsidRPr="00A241AF" w14:paraId="3ADC73DC" w14:textId="77777777" w:rsidTr="002B2DC3">
        <w:trPr>
          <w:trHeight w:val="9792"/>
        </w:trPr>
        <w:tc>
          <w:tcPr>
            <w:tcW w:w="1980" w:type="dxa"/>
            <w:shd w:val="clear" w:color="auto" w:fill="FBE4D5"/>
          </w:tcPr>
          <w:p w14:paraId="12BAF29F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Prop 64 Grant funding</w:t>
            </w:r>
          </w:p>
          <w:p w14:paraId="28FA7FB3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Leveraged funding</w:t>
            </w:r>
          </w:p>
          <w:p w14:paraId="2D01C9E0" w14:textId="6C197E5E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Agency/institution</w:t>
            </w:r>
            <w:r w:rsidR="002A73F9" w:rsidRPr="00A241AF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l partnerships</w:t>
            </w:r>
          </w:p>
          <w:p w14:paraId="38AA53AB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Community partnerships</w:t>
            </w:r>
          </w:p>
          <w:p w14:paraId="795890EC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Staff/volunteers/ mentors</w:t>
            </w:r>
          </w:p>
          <w:p w14:paraId="55BCAAB7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Training </w:t>
            </w:r>
          </w:p>
          <w:p w14:paraId="41EE076C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Referral process</w:t>
            </w:r>
          </w:p>
          <w:p w14:paraId="639F8503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Evidence-based programming</w:t>
            </w:r>
          </w:p>
          <w:p w14:paraId="79BEA891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Law Enforcement activities/services</w:t>
            </w:r>
          </w:p>
          <w:p w14:paraId="2255B2C5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Social Media Marketing</w:t>
            </w:r>
          </w:p>
          <w:p w14:paraId="4CB7FF37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Data collection/ evaluation</w:t>
            </w:r>
          </w:p>
          <w:p w14:paraId="69EA6A6B" w14:textId="03AEB3F0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Quality assurance</w:t>
            </w:r>
          </w:p>
        </w:tc>
        <w:tc>
          <w:tcPr>
            <w:tcW w:w="270" w:type="dxa"/>
          </w:tcPr>
          <w:p w14:paraId="61017F15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/>
          </w:tcPr>
          <w:p w14:paraId="11753E45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Public Health Awareness and Education in Schools and Community (general outreach/audience; non-enrolled)</w:t>
            </w:r>
          </w:p>
          <w:p w14:paraId="59E29749" w14:textId="2EFD1B2A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Social media campaign </w:t>
            </w:r>
          </w:p>
          <w:p w14:paraId="704F1032" w14:textId="0B48B76C" w:rsidR="00D50F1E" w:rsidRPr="00A241AF" w:rsidRDefault="00D50F1E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School education events</w:t>
            </w:r>
          </w:p>
          <w:p w14:paraId="64D2AA87" w14:textId="7FB15CA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Community education events</w:t>
            </w:r>
          </w:p>
          <w:p w14:paraId="00E4E32D" w14:textId="7B36B44D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Community </w:t>
            </w:r>
            <w:r w:rsidR="00D50F1E" w:rsidRPr="00A241AF">
              <w:rPr>
                <w:rFonts w:ascii="Arial Narrow" w:hAnsi="Arial Narrow" w:cstheme="majorHAnsi"/>
                <w:sz w:val="20"/>
                <w:szCs w:val="20"/>
              </w:rPr>
              <w:t>s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>urveys</w:t>
            </w:r>
          </w:p>
          <w:p w14:paraId="67EBD890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DDFF463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Case Management</w:t>
            </w:r>
          </w:p>
          <w:p w14:paraId="73AF6ABB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(enrolled participants)</w:t>
            </w:r>
          </w:p>
          <w:p w14:paraId="2B9E6FF0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Ongoing assessment of risk/needs</w:t>
            </w:r>
          </w:p>
          <w:p w14:paraId="78390228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Behavior change plans </w:t>
            </w:r>
          </w:p>
          <w:p w14:paraId="3E14ACAC" w14:textId="1D96479E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Referral/linkage to community-based support, mental health, substance use, and/or other services</w:t>
            </w:r>
          </w:p>
          <w:p w14:paraId="3A310AF1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67D8BD5" w14:textId="2B64269D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Youth Development Activities (</w:t>
            </w:r>
            <w:r w:rsidR="00E9196C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</w:t>
            </w: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nrolled </w:t>
            </w:r>
            <w:r w:rsidR="00E9196C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</w:t>
            </w: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articipants)</w:t>
            </w:r>
          </w:p>
          <w:p w14:paraId="091B2243" w14:textId="77777777" w:rsidR="00884099" w:rsidRPr="00A241AF" w:rsidRDefault="00884099" w:rsidP="00884099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Substance use awareness education</w:t>
            </w:r>
          </w:p>
          <w:p w14:paraId="196A1A69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Academic support/tutoring</w:t>
            </w:r>
          </w:p>
          <w:p w14:paraId="1683F22F" w14:textId="6D989C70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Career counseling</w:t>
            </w:r>
            <w:r w:rsidR="00D50F1E" w:rsidRPr="00A241AF">
              <w:rPr>
                <w:rFonts w:ascii="Arial Narrow" w:hAnsi="Arial Narrow" w:cstheme="majorHAnsi"/>
                <w:sz w:val="20"/>
                <w:szCs w:val="20"/>
              </w:rPr>
              <w:t>/job shadowing</w:t>
            </w:r>
          </w:p>
          <w:p w14:paraId="5EEEA5DA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Leadership/mentor training</w:t>
            </w:r>
          </w:p>
          <w:p w14:paraId="045D7F8E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Individual/group counseling</w:t>
            </w:r>
          </w:p>
          <w:p w14:paraId="11F31885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Individual/group mentoring</w:t>
            </w:r>
          </w:p>
          <w:p w14:paraId="3600670E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Individual/family support services</w:t>
            </w:r>
          </w:p>
          <w:p w14:paraId="761B639A" w14:textId="77777777" w:rsidR="003A1757" w:rsidRPr="00A241AF" w:rsidRDefault="003A1757" w:rsidP="003A1757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Life skills training</w:t>
            </w:r>
          </w:p>
          <w:p w14:paraId="328A22E9" w14:textId="13C90229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Pro-Social activities/ Recreational events </w:t>
            </w:r>
          </w:p>
          <w:p w14:paraId="21649213" w14:textId="477D2BCF" w:rsidR="003A1757" w:rsidRPr="00A241AF" w:rsidRDefault="003A1757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Skill building activities</w:t>
            </w:r>
          </w:p>
          <w:p w14:paraId="5DD445AD" w14:textId="77777777" w:rsidR="00884099" w:rsidRPr="00A241AF" w:rsidRDefault="00884099" w:rsidP="00884099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Workshops</w:t>
            </w:r>
          </w:p>
          <w:p w14:paraId="3F4E6C61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3EA09869" w14:textId="5FDC11EA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3A1757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3203BF73" w14:textId="6368880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Substance use identification </w:t>
            </w:r>
          </w:p>
          <w:p w14:paraId="3C388D0D" w14:textId="6774121F" w:rsidR="00A41B9B" w:rsidRPr="00A241AF" w:rsidRDefault="00A41B9B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Cannabis prevention</w:t>
            </w:r>
          </w:p>
          <w:p w14:paraId="54D4674F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EBP training</w:t>
            </w:r>
          </w:p>
          <w:p w14:paraId="738C14F1" w14:textId="0708F60B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Risk factor identification </w:t>
            </w:r>
          </w:p>
          <w:p w14:paraId="54ECA7FF" w14:textId="7DD3C88D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Trauma </w:t>
            </w:r>
          </w:p>
          <w:p w14:paraId="1CE0C712" w14:textId="4BF669BC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Counseling </w:t>
            </w:r>
          </w:p>
        </w:tc>
        <w:tc>
          <w:tcPr>
            <w:tcW w:w="270" w:type="dxa"/>
          </w:tcPr>
          <w:p w14:paraId="7641C77E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548F115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Public Health Awareness and Education in Schools and Community </w:t>
            </w:r>
          </w:p>
          <w:p w14:paraId="0F98945E" w14:textId="47CD3753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social media/marketing 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>deployments</w:t>
            </w:r>
          </w:p>
          <w:p w14:paraId="6B808D3F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target audience reached by campaign</w:t>
            </w:r>
          </w:p>
          <w:p w14:paraId="3DB7A572" w14:textId="7EAC830C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right="-103" w:hanging="158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events</w:t>
            </w:r>
            <w:r w:rsidR="00B13620" w:rsidRPr="00A241AF">
              <w:rPr>
                <w:rFonts w:ascii="Arial Narrow" w:hAnsi="Arial Narrow" w:cstheme="majorHAnsi"/>
                <w:sz w:val="20"/>
                <w:szCs w:val="20"/>
              </w:rPr>
              <w:t>/workshops/information sessions</w:t>
            </w:r>
          </w:p>
          <w:p w14:paraId="4952CE1F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individuals who attended events</w:t>
            </w:r>
          </w:p>
          <w:p w14:paraId="08BA4E96" w14:textId="61217A90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responses to community surveys </w:t>
            </w:r>
          </w:p>
          <w:p w14:paraId="6E65835E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476D93CD" w14:textId="64EA079D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Total Youth Enrolled</w:t>
            </w:r>
            <w:r w:rsidR="00884099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Participants</w:t>
            </w:r>
          </w:p>
          <w:p w14:paraId="5E8E427A" w14:textId="01321870" w:rsidR="00884099" w:rsidRPr="00A241AF" w:rsidRDefault="00884099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referred </w:t>
            </w:r>
          </w:p>
          <w:p w14:paraId="79E0258D" w14:textId="0E2EF012" w:rsidR="00884099" w:rsidRPr="00A241AF" w:rsidRDefault="00884099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enrolled</w:t>
            </w:r>
          </w:p>
          <w:p w14:paraId="0C37CAC2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36A18F7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Case Management </w:t>
            </w:r>
          </w:p>
          <w:p w14:paraId="284CA72E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receiving case management</w:t>
            </w:r>
          </w:p>
          <w:p w14:paraId="1FB65552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who received assessments</w:t>
            </w:r>
          </w:p>
          <w:p w14:paraId="30F3FAD0" w14:textId="2946438E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referrals/linkages to community-base</w:t>
            </w:r>
            <w:r w:rsidR="00884099" w:rsidRPr="00A241AF">
              <w:rPr>
                <w:rFonts w:ascii="Arial Narrow" w:hAnsi="Arial Narrow" w:cstheme="majorHAnsi"/>
                <w:sz w:val="20"/>
                <w:szCs w:val="20"/>
              </w:rPr>
              <w:t>d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 support, mental health, substance use, and/or other services. </w:t>
            </w:r>
          </w:p>
          <w:p w14:paraId="1AE9D71B" w14:textId="53A2A25D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exiting project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 xml:space="preserve"> (complete programming, dropout, other)</w:t>
            </w:r>
          </w:p>
          <w:p w14:paraId="1B35102F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DBAA7C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Youth Development Outputs</w:t>
            </w:r>
          </w:p>
          <w:p w14:paraId="2DDB4FC8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engaged in the program</w:t>
            </w:r>
          </w:p>
          <w:p w14:paraId="77FE85D8" w14:textId="77777777" w:rsidR="00D50F1E" w:rsidRPr="00A241AF" w:rsidRDefault="00D50F1E" w:rsidP="00D50F1E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SUD treatment</w:t>
            </w:r>
          </w:p>
          <w:p w14:paraId="5CC43D4F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tutored/receiving academic support</w:t>
            </w:r>
          </w:p>
          <w:p w14:paraId="6F70F7BB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career counseling/ job shadowing</w:t>
            </w:r>
          </w:p>
          <w:p w14:paraId="5BDCC0AF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individual/group counseling</w:t>
            </w:r>
          </w:p>
          <w:p w14:paraId="3ED8EE3D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individual/group mentoring</w:t>
            </w:r>
          </w:p>
          <w:p w14:paraId="23386CE2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attending workshops</w:t>
            </w:r>
          </w:p>
          <w:p w14:paraId="46B5E1F5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workshops/trainings held</w:t>
            </w:r>
          </w:p>
          <w:p w14:paraId="566DC289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leaders/mentors trained</w:t>
            </w:r>
          </w:p>
          <w:p w14:paraId="4AAA5543" w14:textId="2435E07E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participating as a mentor</w:t>
            </w:r>
          </w:p>
          <w:p w14:paraId="226716A5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intervention sessions held</w:t>
            </w:r>
          </w:p>
          <w:p w14:paraId="11E30D93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pro-social activities attended. </w:t>
            </w:r>
          </w:p>
          <w:p w14:paraId="6B48A8FA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parents/caregivers engaged in workshops/ training</w:t>
            </w:r>
          </w:p>
          <w:p w14:paraId="43D8F340" w14:textId="77777777" w:rsidR="00B718C2" w:rsidRPr="00A241AF" w:rsidRDefault="00B718C2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parents/caregivers receiving services </w:t>
            </w:r>
          </w:p>
          <w:p w14:paraId="6BEE98CC" w14:textId="77777777" w:rsidR="001E3A46" w:rsidRPr="00A241AF" w:rsidRDefault="001E3A46" w:rsidP="00C1424F">
            <w:pPr>
              <w:pStyle w:val="ListParagraph"/>
              <w:widowControl w:val="0"/>
              <w:ind w:left="166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3B68CD9C" w14:textId="2E602E84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3A1757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68F713C2" w14:textId="48DBA21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staff trained</w:t>
            </w:r>
          </w:p>
        </w:tc>
        <w:tc>
          <w:tcPr>
            <w:tcW w:w="270" w:type="dxa"/>
          </w:tcPr>
          <w:p w14:paraId="69BDEEB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67CACC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Public Health Awareness and Education in Schools and Community</w:t>
            </w:r>
          </w:p>
          <w:p w14:paraId="67FCA874" w14:textId="77777777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youth perception of harmfulness of cannabis use</w:t>
            </w:r>
          </w:p>
          <w:p w14:paraId="62D74E65" w14:textId="6949F042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Improve parent/caregiver knowledge of negative impact of youth cannabis use and familial use around youth</w:t>
            </w:r>
          </w:p>
          <w:p w14:paraId="549306FE" w14:textId="741E396F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Improve community awareness of dangers of illicit cannabis products </w:t>
            </w:r>
          </w:p>
          <w:p w14:paraId="78E753E0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6"/>
                <w:szCs w:val="6"/>
              </w:rPr>
            </w:pPr>
          </w:p>
          <w:p w14:paraId="5D89BAC0" w14:textId="26A261C3" w:rsidR="001E3A46" w:rsidRPr="00A241AF" w:rsidRDefault="00C74329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Participant</w:t>
            </w:r>
            <w:r w:rsidR="001E3A46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Outcomes</w:t>
            </w:r>
          </w:p>
          <w:p w14:paraId="3E8D377A" w14:textId="37095892" w:rsidR="002B2DC3" w:rsidRPr="00A241AF" w:rsidRDefault="002B2DC3" w:rsidP="00C1424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Youth Development</w:t>
            </w:r>
          </w:p>
          <w:p w14:paraId="07CE33B1" w14:textId="182C6557" w:rsidR="001E3A46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</w:t>
            </w:r>
            <w:r w:rsidR="001E3A46" w:rsidRPr="00A241AF">
              <w:rPr>
                <w:rFonts w:ascii="Arial Narrow" w:hAnsi="Arial Narrow" w:cstheme="majorHAnsi"/>
                <w:sz w:val="20"/>
                <w:szCs w:val="20"/>
              </w:rPr>
              <w:t xml:space="preserve"> cannabis use</w:t>
            </w:r>
          </w:p>
          <w:p w14:paraId="3B246B37" w14:textId="77777777" w:rsidR="00E0740D" w:rsidRPr="00A241AF" w:rsidRDefault="00E0740D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youth perception of harmfulness of cannabis use</w:t>
            </w:r>
          </w:p>
          <w:p w14:paraId="72214DBF" w14:textId="328ECA9B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Increase protective factors/resiliency skills </w:t>
            </w:r>
          </w:p>
          <w:p w14:paraId="2AFF66F0" w14:textId="4643A2BF" w:rsidR="00B718C2" w:rsidRPr="00A241AF" w:rsidRDefault="00B718C2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pro-social behaviors</w:t>
            </w:r>
          </w:p>
          <w:p w14:paraId="2BC752C7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29CE6EB1" w14:textId="406B990D" w:rsidR="003A1757" w:rsidRPr="00A241AF" w:rsidRDefault="003A1757" w:rsidP="003A1757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Family Development</w:t>
            </w:r>
          </w:p>
          <w:p w14:paraId="70C3A1FA" w14:textId="6FA67D66" w:rsidR="003A1757" w:rsidRPr="00A241AF" w:rsidRDefault="003A1757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parent/caregiver perception of negative impacts of use and familial use around youth</w:t>
            </w:r>
          </w:p>
          <w:p w14:paraId="72E44D6D" w14:textId="18BF6A85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family engagement</w:t>
            </w:r>
          </w:p>
          <w:p w14:paraId="02663C13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52421FBC" w14:textId="1E961E34" w:rsidR="008B006F" w:rsidRPr="00A241AF" w:rsidRDefault="008B006F" w:rsidP="008B006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Academic Performance</w:t>
            </w:r>
          </w:p>
          <w:p w14:paraId="49CF849D" w14:textId="50945B2A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Improve school attendance </w:t>
            </w:r>
          </w:p>
          <w:p w14:paraId="0CA1BBE9" w14:textId="48B61C85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incidents of anti-social behavior</w:t>
            </w:r>
          </w:p>
          <w:p w14:paraId="33B28C5F" w14:textId="363747ED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on-campus bullying incidences</w:t>
            </w:r>
          </w:p>
          <w:p w14:paraId="63BFF13A" w14:textId="271B4A85" w:rsidR="001E3A46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Improve</w:t>
            </w:r>
            <w:r w:rsidR="001E3A46" w:rsidRPr="00A241AF">
              <w:rPr>
                <w:rFonts w:ascii="Arial Narrow" w:hAnsi="Arial Narrow" w:cstheme="majorHAnsi"/>
                <w:sz w:val="20"/>
                <w:szCs w:val="20"/>
              </w:rPr>
              <w:t xml:space="preserve"> relationships between caregivers and schools </w:t>
            </w:r>
          </w:p>
          <w:p w14:paraId="5D068AD6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791395EA" w14:textId="024E2D5B" w:rsidR="008B006F" w:rsidRPr="00A241AF" w:rsidRDefault="008B006F" w:rsidP="008B006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Justice System Involvement</w:t>
            </w:r>
          </w:p>
          <w:p w14:paraId="78DA0325" w14:textId="533CFEFB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with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>out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 justice system contact </w:t>
            </w:r>
          </w:p>
          <w:p w14:paraId="4C06B1D3" w14:textId="6F10D6DD" w:rsidR="00A41B9B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diverted from drug-related suspension or citation</w:t>
            </w:r>
          </w:p>
        </w:tc>
        <w:tc>
          <w:tcPr>
            <w:tcW w:w="236" w:type="dxa"/>
          </w:tcPr>
          <w:p w14:paraId="37E0D45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473E6AD7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Long Term Youth Impacts</w:t>
            </w:r>
          </w:p>
          <w:p w14:paraId="40958928" w14:textId="28B5A13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rate of youth cannabis users</w:t>
            </w:r>
          </w:p>
          <w:p w14:paraId="43BB8F35" w14:textId="68D0BA73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Decreased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rate of drug-related youth arrests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citations </w:t>
            </w:r>
          </w:p>
          <w:p w14:paraId="0D71CFA1" w14:textId="183EA03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rate of youth on probation </w:t>
            </w:r>
          </w:p>
          <w:p w14:paraId="62371220" w14:textId="5FC6C11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rate of youth cannabis-related suspensions/expulsions</w:t>
            </w:r>
          </w:p>
          <w:p w14:paraId="75BF5021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Decreased # of youth working at cultivation sites </w:t>
            </w:r>
          </w:p>
          <w:p w14:paraId="298946EC" w14:textId="77777777" w:rsidR="00A241AF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Increase 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youth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graduation rate</w:t>
            </w:r>
          </w:p>
          <w:p w14:paraId="6A62BE60" w14:textId="77777777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499A9734" w14:textId="77777777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Other Impacts</w:t>
            </w:r>
          </w:p>
          <w:p w14:paraId="4AA79100" w14:textId="77777777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Decreased community purchases from unlicensed cannabis outlets. </w:t>
            </w:r>
          </w:p>
          <w:p w14:paraId="19728CC3" w14:textId="77777777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Increased taxed revenue due to legal purchases</w:t>
            </w:r>
          </w:p>
          <w:p w14:paraId="080820BC" w14:textId="21FB87EF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3DAF6957" w14:textId="6935223D" w:rsidR="00E61A3D" w:rsidRPr="002A73F9" w:rsidRDefault="008D7DDB" w:rsidP="002A73F9">
      <w:pPr>
        <w:widowControl w:val="0"/>
        <w:shd w:val="clear" w:color="auto" w:fill="000000" w:themeFill="text1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Cannabis </w:t>
      </w:r>
      <w:r w:rsidR="00086F7E">
        <w:rPr>
          <w:rFonts w:ascii="Arial Narrow" w:hAnsi="Arial Narrow"/>
          <w:b/>
          <w:bCs/>
          <w:sz w:val="20"/>
          <w:szCs w:val="20"/>
        </w:rPr>
        <w:t xml:space="preserve">Compliance and </w:t>
      </w:r>
      <w:r>
        <w:rPr>
          <w:rFonts w:ascii="Arial Narrow" w:hAnsi="Arial Narrow"/>
          <w:b/>
          <w:bCs/>
          <w:sz w:val="20"/>
          <w:szCs w:val="20"/>
        </w:rPr>
        <w:t>Enforcement</w:t>
      </w:r>
      <w:bookmarkStart w:id="0" w:name="_GoBack"/>
      <w:bookmarkEnd w:id="0"/>
    </w:p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2970"/>
        <w:gridCol w:w="270"/>
        <w:gridCol w:w="3600"/>
        <w:gridCol w:w="270"/>
        <w:gridCol w:w="2520"/>
        <w:gridCol w:w="270"/>
        <w:gridCol w:w="2430"/>
      </w:tblGrid>
      <w:tr w:rsidR="00966824" w:rsidRPr="00966824" w14:paraId="52693CB3" w14:textId="77777777" w:rsidTr="00A41B9B">
        <w:tc>
          <w:tcPr>
            <w:tcW w:w="1980" w:type="dxa"/>
            <w:shd w:val="clear" w:color="auto" w:fill="FBE4D5" w:themeFill="accent2" w:themeFillTint="33"/>
          </w:tcPr>
          <w:p w14:paraId="0C8E1374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70" w:type="dxa"/>
          </w:tcPr>
          <w:p w14:paraId="418D06A8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 w:themeFill="accent2" w:themeFillTint="66"/>
          </w:tcPr>
          <w:p w14:paraId="5A4539BD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0" w:type="dxa"/>
          </w:tcPr>
          <w:p w14:paraId="2CC4F847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1B7595DC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70" w:type="dxa"/>
          </w:tcPr>
          <w:p w14:paraId="0902D924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4D50E0BE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70" w:type="dxa"/>
          </w:tcPr>
          <w:p w14:paraId="32CAA860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9C9C9" w:themeFill="accent3" w:themeFillTint="99"/>
          </w:tcPr>
          <w:p w14:paraId="23AA2C11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</w:t>
            </w:r>
          </w:p>
        </w:tc>
      </w:tr>
      <w:tr w:rsidR="00966824" w:rsidRPr="00966824" w14:paraId="7E63256A" w14:textId="77777777" w:rsidTr="00A41B9B">
        <w:tc>
          <w:tcPr>
            <w:tcW w:w="1980" w:type="dxa"/>
          </w:tcPr>
          <w:p w14:paraId="2A4A858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F1787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A740B3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69FA3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8B07B4D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770DB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561007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B1C19F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5DCBE0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966824" w:rsidRPr="00966824" w14:paraId="071B8B24" w14:textId="77777777" w:rsidTr="00966824">
        <w:trPr>
          <w:trHeight w:val="9648"/>
        </w:trPr>
        <w:tc>
          <w:tcPr>
            <w:tcW w:w="1980" w:type="dxa"/>
            <w:shd w:val="clear" w:color="auto" w:fill="FBE4D5"/>
          </w:tcPr>
          <w:p w14:paraId="3C9F59EE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Prop 64 Grant funding</w:t>
            </w:r>
          </w:p>
          <w:p w14:paraId="4849D43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Leveraged funding</w:t>
            </w:r>
          </w:p>
          <w:p w14:paraId="535EB97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Agency/institutional partnerships</w:t>
            </w:r>
          </w:p>
          <w:p w14:paraId="73FCE2C3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Community partnerships</w:t>
            </w:r>
          </w:p>
          <w:p w14:paraId="47945451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Staff/volunteers/ mentors</w:t>
            </w:r>
          </w:p>
          <w:p w14:paraId="20737C79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Training </w:t>
            </w:r>
          </w:p>
          <w:p w14:paraId="1D63D4F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Law Enforcement activities/services</w:t>
            </w:r>
          </w:p>
          <w:p w14:paraId="19ED5B9A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Social Media Marketing</w:t>
            </w:r>
          </w:p>
          <w:p w14:paraId="41DFD6F2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Data collection/ evaluation</w:t>
            </w:r>
          </w:p>
          <w:p w14:paraId="493DB474" w14:textId="55DCDE93" w:rsidR="00E61A3D" w:rsidRPr="00966824" w:rsidRDefault="00E61A3D" w:rsidP="00966824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Quality assuranc</w:t>
            </w:r>
            <w:r w:rsidR="00966824" w:rsidRPr="00966824">
              <w:rPr>
                <w:rFonts w:ascii="Arial Narrow" w:hAnsi="Arial Narrow" w:cstheme="majorHAnsi"/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14:paraId="5F409B5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/>
          </w:tcPr>
          <w:p w14:paraId="7D938CBC" w14:textId="4200996B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2B24A5B3" w14:textId="77777777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Cannabis retailor education/ outreach/training</w:t>
            </w:r>
          </w:p>
          <w:p w14:paraId="586898B7" w14:textId="77777777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9D041F0" w14:textId="209B7AAE" w:rsidR="00E61A3D" w:rsidRPr="00966824" w:rsidRDefault="00B32722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Compliance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Activities</w:t>
            </w:r>
          </w:p>
          <w:p w14:paraId="28E9326C" w14:textId="07BE2D39" w:rsidR="00E61A3D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</w:t>
            </w:r>
            <w:r w:rsidR="00E61A3D" w:rsidRPr="00966824">
              <w:rPr>
                <w:rFonts w:ascii="Arial Narrow" w:hAnsi="Arial Narrow" w:cstheme="majorHAnsi"/>
                <w:sz w:val="20"/>
                <w:szCs w:val="20"/>
              </w:rPr>
              <w:t xml:space="preserve">ompliance monitoring/inspections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of permitted operations (retail, delivery,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 xml:space="preserve">permitted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cultivat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ors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)</w:t>
            </w:r>
          </w:p>
          <w:p w14:paraId="25D9862D" w14:textId="04ED98C7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A0ABFB8" w14:textId="328C62AA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Enforcement Activities</w:t>
            </w:r>
          </w:p>
          <w:p w14:paraId="17EFD44C" w14:textId="34185B8F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Aerial/satellite surveillance of land</w:t>
            </w:r>
          </w:p>
          <w:p w14:paraId="50DF9248" w14:textId="07267659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Identification of illegal cultivation area</w:t>
            </w:r>
            <w:r w:rsidR="00A46061">
              <w:rPr>
                <w:rFonts w:ascii="Arial Narrow" w:hAnsi="Arial Narrow" w:cstheme="majorHAnsi"/>
                <w:sz w:val="20"/>
                <w:szCs w:val="20"/>
              </w:rPr>
              <w:t>s</w:t>
            </w:r>
          </w:p>
          <w:p w14:paraId="23D33F7D" w14:textId="2BE6F485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Environmental</w:t>
            </w:r>
            <w:r w:rsidR="00DD2868"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assessments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</w:t>
            </w:r>
            <w:r w:rsidR="00DD2868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water ways, grading</w:t>
            </w:r>
            <w:r w:rsidR="00B32722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, roads, buildings, waste, etc.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)</w:t>
            </w:r>
          </w:p>
          <w:p w14:paraId="6058D666" w14:textId="77777777" w:rsidR="00DD2868" w:rsidRPr="00966824" w:rsidRDefault="00DD2868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Testing illegal cannabis products</w:t>
            </w:r>
          </w:p>
          <w:p w14:paraId="7A376CA2" w14:textId="77777777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Site remediation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(water, land)</w:t>
            </w:r>
          </w:p>
          <w:p w14:paraId="3B4F8BF9" w14:textId="6E58AE38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Law Enforcement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</w:t>
            </w:r>
            <w:r w:rsidR="00B32722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 xml:space="preserve">investigation,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arrests, establishing cases)</w:t>
            </w:r>
          </w:p>
          <w:p w14:paraId="75B99284" w14:textId="03EC1A9A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Cultivation eradication</w:t>
            </w:r>
          </w:p>
          <w:p w14:paraId="13C52C89" w14:textId="0BEB291A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74F4EC52" w14:textId="4329F94E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731AF401" w14:textId="5B7BE3D4" w:rsidR="00A41B9B" w:rsidRPr="00966824" w:rsidRDefault="00A41B9B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Substance use identification training</w:t>
            </w:r>
          </w:p>
          <w:p w14:paraId="1C7174EB" w14:textId="77777777" w:rsidR="00E61A3D" w:rsidRDefault="00A41B9B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Law </w:t>
            </w:r>
            <w:r w:rsidR="005751E7">
              <w:rPr>
                <w:rFonts w:ascii="Arial Narrow" w:hAnsi="Arial Narrow" w:cstheme="majorHAnsi"/>
                <w:sz w:val="20"/>
                <w:szCs w:val="20"/>
              </w:rPr>
              <w:t>e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nforcement </w:t>
            </w:r>
          </w:p>
          <w:p w14:paraId="6506A273" w14:textId="77777777" w:rsidR="005751E7" w:rsidRDefault="005751E7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Cannabis related laws</w:t>
            </w:r>
          </w:p>
          <w:p w14:paraId="5811A61A" w14:textId="77777777" w:rsidR="005751E7" w:rsidRDefault="005751E7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Surveillance techniques</w:t>
            </w:r>
          </w:p>
          <w:p w14:paraId="32E01904" w14:textId="77777777" w:rsidR="00A241AF" w:rsidRDefault="00A241AF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Legal issues and changes in store front practices</w:t>
            </w:r>
          </w:p>
          <w:p w14:paraId="70E820A7" w14:textId="5E9B15A1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Environmental concerns</w:t>
            </w:r>
          </w:p>
        </w:tc>
        <w:tc>
          <w:tcPr>
            <w:tcW w:w="270" w:type="dxa"/>
          </w:tcPr>
          <w:p w14:paraId="14398934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0645A03B" w14:textId="77777777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21FFD380" w14:textId="1E537D18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19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cannabis retailor education/outreach/trainings held</w:t>
            </w:r>
          </w:p>
          <w:p w14:paraId="6D432C9A" w14:textId="77777777" w:rsidR="00DD2868" w:rsidRPr="00966824" w:rsidRDefault="00DD2868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83AEEA6" w14:textId="2D0B74FE" w:rsidR="00E61A3D" w:rsidRPr="00966824" w:rsidRDefault="00B32722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Compliance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Activities</w:t>
            </w:r>
          </w:p>
          <w:p w14:paraId="57E2170B" w14:textId="2904F9AB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c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ompliance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m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onitoring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inspections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(retail, delivery, permitted cultivators)</w:t>
            </w:r>
          </w:p>
          <w:p w14:paraId="1EBA9D76" w14:textId="2B940952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code enforcement actions/violations found</w:t>
            </w:r>
          </w:p>
          <w:p w14:paraId="75E46FEE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permits issued</w:t>
            </w:r>
          </w:p>
          <w:p w14:paraId="6936487B" w14:textId="0D050DB6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5EBA99B" w14:textId="0CD8A65B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Enforcement Activities</w:t>
            </w:r>
          </w:p>
          <w:p w14:paraId="3F7D17D7" w14:textId="5103841B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unlicensed cultivation sites identified</w:t>
            </w:r>
          </w:p>
          <w:p w14:paraId="366D55B5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unlicensed cannabis growth investigations initiated</w:t>
            </w:r>
          </w:p>
          <w:p w14:paraId="703CB46B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unpermitted plants eradicated</w:t>
            </w:r>
          </w:p>
          <w:p w14:paraId="0AA2D4FC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inspections completed</w:t>
            </w:r>
          </w:p>
          <w:p w14:paraId="23D18B6F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tests done</w:t>
            </w:r>
          </w:p>
          <w:p w14:paraId="38DEEA88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crimes found</w:t>
            </w:r>
          </w:p>
          <w:p w14:paraId="5AD828A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reclamation plans developed</w:t>
            </w:r>
          </w:p>
          <w:p w14:paraId="319BEF2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eliminated sedimental impacts</w:t>
            </w:r>
          </w:p>
          <w:p w14:paraId="3EBEBE83" w14:textId="6D0FB7FF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other law enforcement investigations initiated (</w:t>
            </w:r>
            <w:r w:rsidR="00462CAF" w:rsidRPr="00966824">
              <w:rPr>
                <w:rFonts w:ascii="Arial Narrow" w:hAnsi="Arial Narrow" w:cstheme="majorHAnsi"/>
                <w:sz w:val="20"/>
                <w:szCs w:val="20"/>
              </w:rPr>
              <w:t>trafficking organizations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, illegal products)</w:t>
            </w:r>
          </w:p>
          <w:p w14:paraId="369F8F24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illegal products seized</w:t>
            </w:r>
          </w:p>
          <w:p w14:paraId="224332F8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products tested</w:t>
            </w:r>
          </w:p>
          <w:p w14:paraId="46316668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complaints responded to</w:t>
            </w:r>
          </w:p>
          <w:p w14:paraId="70327E11" w14:textId="2DD919AC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15DC7BE" w14:textId="755CCB55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0B24C8ED" w14:textId="5E53ABD9" w:rsidR="00E61A3D" w:rsidRPr="00966824" w:rsidRDefault="00A41B9B" w:rsidP="002A4786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staff traine</w:t>
            </w:r>
            <w:r w:rsidR="00966824" w:rsidRPr="00966824">
              <w:rPr>
                <w:rFonts w:ascii="Arial Narrow" w:hAnsi="Arial Narrow" w:cstheme="majorHAnsi"/>
                <w:sz w:val="20"/>
                <w:szCs w:val="20"/>
              </w:rPr>
              <w:t>d</w:t>
            </w:r>
          </w:p>
          <w:p w14:paraId="1D3CE2B9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D296A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8D42DF0" w14:textId="0D75F59A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015BC487" w14:textId="7B8E3C1C" w:rsidR="00B32722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 knowledge of cannabis code and regulations of owners/managers of permitted</w:t>
            </w:r>
            <w:r w:rsidR="00462CAF" w:rsidRPr="00966824">
              <w:rPr>
                <w:rFonts w:ascii="Arial Narrow" w:hAnsi="Arial Narrow" w:cstheme="majorHAnsi"/>
                <w:sz w:val="20"/>
                <w:szCs w:val="20"/>
              </w:rPr>
              <w:t xml:space="preserve"> operations</w:t>
            </w:r>
          </w:p>
          <w:p w14:paraId="3FFAA0B9" w14:textId="7B867D31" w:rsidR="0028070A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retailor</w:t>
            </w:r>
            <w:r w:rsid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awareness of youth cannabis use and illicit cannabis</w:t>
            </w:r>
          </w:p>
          <w:p w14:paraId="18FDB068" w14:textId="77777777" w:rsidR="00462CAF" w:rsidRPr="00966824" w:rsidRDefault="00462CAF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7CE56E36" w14:textId="0673868E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Compliance </w:t>
            </w:r>
          </w:p>
          <w:p w14:paraId="14DBA298" w14:textId="69270280" w:rsidR="00B32722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 number of permitted operations in compliance with cannabis codes and regulations</w:t>
            </w:r>
          </w:p>
          <w:p w14:paraId="2263891F" w14:textId="77777777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FF0142B" w14:textId="5FC64406" w:rsidR="00E61A3D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Enforcement </w:t>
            </w:r>
          </w:p>
          <w:p w14:paraId="566AF1AC" w14:textId="5302FE24" w:rsidR="00462CAF" w:rsidRPr="00966824" w:rsidRDefault="00462CAF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>d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 surveillance systems</w:t>
            </w:r>
          </w:p>
          <w:p w14:paraId="184293E2" w14:textId="2B7E3303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# of identified illegal/unlicensed cannabis cultivation sites </w:t>
            </w:r>
          </w:p>
          <w:p w14:paraId="4D300BE9" w14:textId="41747375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eradications of unpermitted plants.</w:t>
            </w:r>
          </w:p>
          <w:p w14:paraId="4745B612" w14:textId="1F9F6863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volume of code enforcement cases </w:t>
            </w:r>
          </w:p>
          <w:p w14:paraId="5866B4DE" w14:textId="686C5901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enforcement action against property owners/ cultivators/retailors</w:t>
            </w:r>
          </w:p>
          <w:p w14:paraId="77358ACD" w14:textId="01E279EE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penalties collected</w:t>
            </w:r>
          </w:p>
          <w:p w14:paraId="4F4B166B" w14:textId="441C046C" w:rsidR="00E61A3D" w:rsidRPr="00966824" w:rsidRDefault="00462CAF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 xml:space="preserve"> cannabis taxes collected</w:t>
            </w:r>
          </w:p>
        </w:tc>
        <w:tc>
          <w:tcPr>
            <w:tcW w:w="270" w:type="dxa"/>
          </w:tcPr>
          <w:p w14:paraId="0EA7ED9A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9C9C9" w:themeFill="accent3" w:themeFillTint="99"/>
          </w:tcPr>
          <w:p w14:paraId="165B048B" w14:textId="1287D814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Impacts</w:t>
            </w:r>
          </w:p>
          <w:p w14:paraId="3CCA123A" w14:textId="6F83EC46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Increased public safet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>y</w:t>
            </w:r>
          </w:p>
          <w:p w14:paraId="09D610A7" w14:textId="4D00ED3F" w:rsidR="00E61A3D" w:rsidRPr="00966824" w:rsidRDefault="0028070A" w:rsidP="0028070A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Decreased public complaints of illegal behaviors</w:t>
            </w:r>
          </w:p>
          <w:p w14:paraId="22F8DA76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3FE1935F" w14:textId="55E37554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Enforcement </w:t>
            </w:r>
          </w:p>
          <w:p w14:paraId="62D8D741" w14:textId="3370D40C" w:rsidR="0028070A" w:rsidRPr="00966824" w:rsidRDefault="0028070A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 unlawful marijuana cultivation</w:t>
            </w:r>
          </w:p>
          <w:p w14:paraId="548B9D63" w14:textId="16593AC3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Decreased illicit cannabis trade/products </w:t>
            </w:r>
          </w:p>
          <w:p w14:paraId="0B21CEB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Decreased incentives for property owners/cultivators to cultivate cannabis without required approvals</w:t>
            </w:r>
          </w:p>
          <w:p w14:paraId="2B02E2BF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Increased trust and inclusion between law enforcement and community members</w:t>
            </w:r>
          </w:p>
          <w:p w14:paraId="230C42D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86CB8A0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Environmental Impacts</w:t>
            </w:r>
          </w:p>
          <w:p w14:paraId="6DF3A465" w14:textId="7830110B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Decrease environmental impacts </w:t>
            </w:r>
          </w:p>
          <w:p w14:paraId="2E9D25ED" w14:textId="670ADAC4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information gathering and research on environmental impact of grow sites. </w:t>
            </w:r>
          </w:p>
          <w:p w14:paraId="26117754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7A0AE36" w14:textId="77777777" w:rsidR="00E8103B" w:rsidRPr="002A73F9" w:rsidRDefault="00E8103B" w:rsidP="00966824">
      <w:pPr>
        <w:widowControl w:val="0"/>
        <w:rPr>
          <w:rFonts w:ascii="Arial Narrow" w:hAnsi="Arial Narrow"/>
          <w:sz w:val="20"/>
          <w:szCs w:val="20"/>
        </w:rPr>
      </w:pPr>
    </w:p>
    <w:sectPr w:rsidR="00E8103B" w:rsidRPr="002A73F9" w:rsidSect="00325FE7">
      <w:headerReference w:type="default" r:id="rId8"/>
      <w:footerReference w:type="default" r:id="rId9"/>
      <w:pgSz w:w="15840" w:h="12240" w:orient="landscape"/>
      <w:pgMar w:top="359" w:right="720" w:bottom="720" w:left="720" w:header="36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A84E" w14:textId="77777777" w:rsidR="004A6D86" w:rsidRDefault="004A6D86" w:rsidP="00650331">
      <w:pPr>
        <w:spacing w:after="0" w:line="240" w:lineRule="auto"/>
      </w:pPr>
      <w:r>
        <w:separator/>
      </w:r>
    </w:p>
  </w:endnote>
  <w:endnote w:type="continuationSeparator" w:id="0">
    <w:p w14:paraId="22161235" w14:textId="77777777" w:rsidR="004A6D86" w:rsidRDefault="004A6D86" w:rsidP="006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</w:rPr>
      <w:id w:val="143178042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38FE8A4" w14:textId="3FE4B95A" w:rsidR="00A27FDE" w:rsidRPr="00A41B9B" w:rsidRDefault="002A73F9" w:rsidP="002A73F9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</w:rPr>
        </w:pPr>
        <w:r w:rsidRPr="00A41B9B">
          <w:rPr>
            <w:rFonts w:ascii="Arial Narrow" w:hAnsi="Arial Narrow" w:cs="Arial"/>
          </w:rPr>
          <w:t>November 2020</w:t>
        </w:r>
        <w:r w:rsidRPr="00A41B9B">
          <w:rPr>
            <w:rFonts w:ascii="Arial Narrow" w:hAnsi="Arial Narrow" w:cs="Arial"/>
          </w:rPr>
          <w:tab/>
        </w:r>
        <w:r w:rsidR="00A41B9B" w:rsidRPr="00A41B9B">
          <w:rPr>
            <w:rFonts w:ascii="Arial Narrow" w:hAnsi="Arial Narrow" w:cs="Arial"/>
          </w:rPr>
          <w:tab/>
          <w:t>Draft Statewide Logic Model for Feedback</w:t>
        </w:r>
        <w:r w:rsidRPr="00A41B9B">
          <w:rPr>
            <w:rFonts w:ascii="Arial Narrow" w:hAnsi="Arial Narrow" w:cs="Arial"/>
          </w:rPr>
          <w:tab/>
        </w:r>
        <w:r w:rsidRPr="00A41B9B">
          <w:rPr>
            <w:rFonts w:ascii="Arial Narrow" w:hAnsi="Arial Narrow" w:cs="Arial"/>
          </w:rPr>
          <w:tab/>
        </w:r>
        <w:r w:rsidR="00A41B9B">
          <w:rPr>
            <w:rFonts w:ascii="Arial Narrow" w:hAnsi="Arial Narrow" w:cs="Arial"/>
          </w:rPr>
          <w:tab/>
        </w:r>
        <w:r w:rsidRPr="00A41B9B">
          <w:rPr>
            <w:rFonts w:ascii="Arial Narrow" w:hAnsi="Arial Narrow" w:cs="Arial"/>
          </w:rPr>
          <w:tab/>
        </w:r>
        <w:r w:rsidRPr="00A41B9B">
          <w:rPr>
            <w:rFonts w:ascii="Arial Narrow" w:hAnsi="Arial Narrow" w:cs="Arial"/>
          </w:rPr>
          <w:tab/>
        </w:r>
        <w:r w:rsidRPr="00A41B9B">
          <w:rPr>
            <w:rFonts w:ascii="Arial Narrow" w:hAnsi="Arial Narrow" w:cs="Arial"/>
          </w:rPr>
          <w:fldChar w:fldCharType="begin"/>
        </w:r>
        <w:r w:rsidRPr="00A41B9B">
          <w:rPr>
            <w:rFonts w:ascii="Arial Narrow" w:hAnsi="Arial Narrow" w:cs="Arial"/>
          </w:rPr>
          <w:instrText xml:space="preserve"> PAGE   \* MERGEFORMAT </w:instrText>
        </w:r>
        <w:r w:rsidRPr="00A41B9B">
          <w:rPr>
            <w:rFonts w:ascii="Arial Narrow" w:hAnsi="Arial Narrow" w:cs="Arial"/>
          </w:rPr>
          <w:fldChar w:fldCharType="separate"/>
        </w:r>
        <w:r w:rsidRPr="00A41B9B">
          <w:rPr>
            <w:rFonts w:ascii="Arial Narrow" w:hAnsi="Arial Narrow" w:cs="Arial"/>
            <w:noProof/>
          </w:rPr>
          <w:t>2</w:t>
        </w:r>
        <w:r w:rsidRPr="00A41B9B">
          <w:rPr>
            <w:rFonts w:ascii="Arial Narrow" w:hAnsi="Arial Narrow" w:cs="Arial"/>
            <w:noProof/>
          </w:rPr>
          <w:fldChar w:fldCharType="end"/>
        </w:r>
        <w:r w:rsidRPr="00A41B9B">
          <w:rPr>
            <w:rFonts w:ascii="Arial Narrow" w:hAnsi="Arial Narrow" w:cs="Arial"/>
          </w:rPr>
          <w:t xml:space="preserve"> | </w:t>
        </w:r>
        <w:r w:rsidRPr="00A41B9B">
          <w:rPr>
            <w:rFonts w:ascii="Arial Narrow" w:hAnsi="Arial Narrow" w:cs="Arial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3D6A" w14:textId="77777777" w:rsidR="004A6D86" w:rsidRDefault="004A6D86" w:rsidP="00650331">
      <w:pPr>
        <w:spacing w:after="0" w:line="240" w:lineRule="auto"/>
      </w:pPr>
      <w:r>
        <w:separator/>
      </w:r>
    </w:p>
  </w:footnote>
  <w:footnote w:type="continuationSeparator" w:id="0">
    <w:p w14:paraId="60E6B036" w14:textId="77777777" w:rsidR="004A6D86" w:rsidRDefault="004A6D86" w:rsidP="0065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9438" w14:textId="34E30B06" w:rsidR="00650331" w:rsidRDefault="00101AE5">
    <w:pPr>
      <w:pStyle w:val="Header"/>
      <w:rPr>
        <w:rFonts w:ascii="Calibri Light" w:hAnsi="Calibri Light" w:cs="Calibri Light"/>
        <w:b/>
        <w:bCs/>
      </w:rPr>
    </w:pPr>
    <w:r>
      <w:rPr>
        <w:rFonts w:ascii="Calibri Light" w:hAnsi="Calibri Light" w:cs="Calibri Light"/>
        <w:b/>
        <w:bCs/>
      </w:rPr>
      <w:t xml:space="preserve">Proposition 64 </w:t>
    </w:r>
    <w:r w:rsidR="00FA5D20">
      <w:rPr>
        <w:rFonts w:ascii="Calibri Light" w:hAnsi="Calibri Light" w:cs="Calibri Light"/>
        <w:b/>
        <w:bCs/>
      </w:rPr>
      <w:t xml:space="preserve">Grant </w:t>
    </w:r>
    <w:r w:rsidR="00650331" w:rsidRPr="003F615B">
      <w:rPr>
        <w:rFonts w:ascii="Calibri Light" w:hAnsi="Calibri Light" w:cs="Calibri Light"/>
        <w:b/>
        <w:bCs/>
      </w:rPr>
      <w:t>| Statewide Logic Model</w:t>
    </w:r>
  </w:p>
  <w:p w14:paraId="052AC338" w14:textId="77777777" w:rsidR="00A41B9B" w:rsidRPr="00A41B9B" w:rsidRDefault="00A41B9B">
    <w:pPr>
      <w:pStyle w:val="Header"/>
      <w:rPr>
        <w:rFonts w:ascii="Calibri Light" w:hAnsi="Calibri Light" w:cs="Calibri Ligh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551"/>
    <w:multiLevelType w:val="hybridMultilevel"/>
    <w:tmpl w:val="AFC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4E4"/>
    <w:multiLevelType w:val="hybridMultilevel"/>
    <w:tmpl w:val="CC0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1387"/>
    <w:multiLevelType w:val="hybridMultilevel"/>
    <w:tmpl w:val="BB764A9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5F22224"/>
    <w:multiLevelType w:val="hybridMultilevel"/>
    <w:tmpl w:val="DEA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83A"/>
    <w:multiLevelType w:val="hybridMultilevel"/>
    <w:tmpl w:val="882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1798"/>
    <w:multiLevelType w:val="hybridMultilevel"/>
    <w:tmpl w:val="2AA6873E"/>
    <w:lvl w:ilvl="0" w:tplc="CF9A0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66D"/>
    <w:multiLevelType w:val="hybridMultilevel"/>
    <w:tmpl w:val="F3B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1F9"/>
    <w:multiLevelType w:val="hybridMultilevel"/>
    <w:tmpl w:val="9B1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4A"/>
    <w:multiLevelType w:val="hybridMultilevel"/>
    <w:tmpl w:val="BD9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4C59"/>
    <w:multiLevelType w:val="hybridMultilevel"/>
    <w:tmpl w:val="755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634A"/>
    <w:multiLevelType w:val="hybridMultilevel"/>
    <w:tmpl w:val="CC5E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F5D"/>
    <w:multiLevelType w:val="hybridMultilevel"/>
    <w:tmpl w:val="D40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76574"/>
    <w:multiLevelType w:val="hybridMultilevel"/>
    <w:tmpl w:val="A776FFF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416234D"/>
    <w:multiLevelType w:val="hybridMultilevel"/>
    <w:tmpl w:val="FB768BC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5630DC0"/>
    <w:multiLevelType w:val="hybridMultilevel"/>
    <w:tmpl w:val="711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32CC"/>
    <w:multiLevelType w:val="hybridMultilevel"/>
    <w:tmpl w:val="130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0A3D"/>
    <w:multiLevelType w:val="hybridMultilevel"/>
    <w:tmpl w:val="D92E7710"/>
    <w:lvl w:ilvl="0" w:tplc="2728A2E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72A86927"/>
    <w:multiLevelType w:val="hybridMultilevel"/>
    <w:tmpl w:val="B9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0B95"/>
    <w:multiLevelType w:val="hybridMultilevel"/>
    <w:tmpl w:val="EBA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833BF"/>
    <w:multiLevelType w:val="hybridMultilevel"/>
    <w:tmpl w:val="BD0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380F"/>
    <w:multiLevelType w:val="hybridMultilevel"/>
    <w:tmpl w:val="F9387D88"/>
    <w:lvl w:ilvl="0" w:tplc="3B36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33C9"/>
    <w:multiLevelType w:val="hybridMultilevel"/>
    <w:tmpl w:val="8E84F1DA"/>
    <w:lvl w:ilvl="0" w:tplc="DED0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2197"/>
    <w:multiLevelType w:val="hybridMultilevel"/>
    <w:tmpl w:val="8E6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9"/>
  </w:num>
  <w:num w:numId="5">
    <w:abstractNumId w:val="15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31"/>
    <w:rsid w:val="000039CA"/>
    <w:rsid w:val="000161FA"/>
    <w:rsid w:val="00022FEA"/>
    <w:rsid w:val="000234E1"/>
    <w:rsid w:val="00031D6C"/>
    <w:rsid w:val="00043A6C"/>
    <w:rsid w:val="00053048"/>
    <w:rsid w:val="00057C87"/>
    <w:rsid w:val="00064F76"/>
    <w:rsid w:val="00086F7E"/>
    <w:rsid w:val="000A3949"/>
    <w:rsid w:val="000C571F"/>
    <w:rsid w:val="00101AE5"/>
    <w:rsid w:val="00121EF0"/>
    <w:rsid w:val="0012264C"/>
    <w:rsid w:val="00122B7D"/>
    <w:rsid w:val="0014681E"/>
    <w:rsid w:val="00150E39"/>
    <w:rsid w:val="00170D31"/>
    <w:rsid w:val="00194952"/>
    <w:rsid w:val="001B26D8"/>
    <w:rsid w:val="001C58D1"/>
    <w:rsid w:val="001D1038"/>
    <w:rsid w:val="001E3A46"/>
    <w:rsid w:val="0023620B"/>
    <w:rsid w:val="00244E1C"/>
    <w:rsid w:val="0028070A"/>
    <w:rsid w:val="00281C8C"/>
    <w:rsid w:val="002A73F9"/>
    <w:rsid w:val="002B2DC3"/>
    <w:rsid w:val="002B6BB3"/>
    <w:rsid w:val="002D0277"/>
    <w:rsid w:val="002E5BD4"/>
    <w:rsid w:val="002F016A"/>
    <w:rsid w:val="00305998"/>
    <w:rsid w:val="0032186A"/>
    <w:rsid w:val="00325FE7"/>
    <w:rsid w:val="00343BB8"/>
    <w:rsid w:val="00367F08"/>
    <w:rsid w:val="003734BD"/>
    <w:rsid w:val="00382DB0"/>
    <w:rsid w:val="003A1757"/>
    <w:rsid w:val="003A544D"/>
    <w:rsid w:val="003A5B74"/>
    <w:rsid w:val="003B0752"/>
    <w:rsid w:val="003B3D2C"/>
    <w:rsid w:val="003B476B"/>
    <w:rsid w:val="003E22F5"/>
    <w:rsid w:val="003F0084"/>
    <w:rsid w:val="003F38CB"/>
    <w:rsid w:val="003F615B"/>
    <w:rsid w:val="003F635C"/>
    <w:rsid w:val="004113D4"/>
    <w:rsid w:val="0041584A"/>
    <w:rsid w:val="00433BB7"/>
    <w:rsid w:val="00444CFC"/>
    <w:rsid w:val="00462CAF"/>
    <w:rsid w:val="004A13BE"/>
    <w:rsid w:val="004A6D86"/>
    <w:rsid w:val="004B2097"/>
    <w:rsid w:val="004C2C93"/>
    <w:rsid w:val="00506EFA"/>
    <w:rsid w:val="00510D15"/>
    <w:rsid w:val="00526385"/>
    <w:rsid w:val="005315E0"/>
    <w:rsid w:val="00544B45"/>
    <w:rsid w:val="00552BF4"/>
    <w:rsid w:val="00555973"/>
    <w:rsid w:val="005603C3"/>
    <w:rsid w:val="00565876"/>
    <w:rsid w:val="00571773"/>
    <w:rsid w:val="005751E7"/>
    <w:rsid w:val="00577D29"/>
    <w:rsid w:val="00582FD3"/>
    <w:rsid w:val="00591798"/>
    <w:rsid w:val="005B2054"/>
    <w:rsid w:val="005D537E"/>
    <w:rsid w:val="005F0885"/>
    <w:rsid w:val="005F4468"/>
    <w:rsid w:val="00621887"/>
    <w:rsid w:val="00650331"/>
    <w:rsid w:val="006509CE"/>
    <w:rsid w:val="0065578F"/>
    <w:rsid w:val="006642FD"/>
    <w:rsid w:val="00665134"/>
    <w:rsid w:val="006725FF"/>
    <w:rsid w:val="00677B79"/>
    <w:rsid w:val="006B12F2"/>
    <w:rsid w:val="006C1739"/>
    <w:rsid w:val="006C461B"/>
    <w:rsid w:val="006E51A6"/>
    <w:rsid w:val="006F2E58"/>
    <w:rsid w:val="006F41D1"/>
    <w:rsid w:val="006F5AD4"/>
    <w:rsid w:val="00701F7A"/>
    <w:rsid w:val="007063E1"/>
    <w:rsid w:val="00724155"/>
    <w:rsid w:val="007518D5"/>
    <w:rsid w:val="00762B04"/>
    <w:rsid w:val="00772B34"/>
    <w:rsid w:val="007F4E8C"/>
    <w:rsid w:val="00807F2B"/>
    <w:rsid w:val="00832C92"/>
    <w:rsid w:val="00835DBD"/>
    <w:rsid w:val="00850FB8"/>
    <w:rsid w:val="00852120"/>
    <w:rsid w:val="00856862"/>
    <w:rsid w:val="00864FE1"/>
    <w:rsid w:val="00870C75"/>
    <w:rsid w:val="00874004"/>
    <w:rsid w:val="008830F7"/>
    <w:rsid w:val="00884099"/>
    <w:rsid w:val="0089618A"/>
    <w:rsid w:val="008A60F9"/>
    <w:rsid w:val="008A71FC"/>
    <w:rsid w:val="008B006F"/>
    <w:rsid w:val="008B3DF1"/>
    <w:rsid w:val="008C58D8"/>
    <w:rsid w:val="008D31EA"/>
    <w:rsid w:val="008D7DDB"/>
    <w:rsid w:val="00901707"/>
    <w:rsid w:val="00916D1D"/>
    <w:rsid w:val="00922C56"/>
    <w:rsid w:val="00933E22"/>
    <w:rsid w:val="00951FAE"/>
    <w:rsid w:val="009618BD"/>
    <w:rsid w:val="00966824"/>
    <w:rsid w:val="00990917"/>
    <w:rsid w:val="009C37E6"/>
    <w:rsid w:val="009E105E"/>
    <w:rsid w:val="009F31B7"/>
    <w:rsid w:val="00A05A1D"/>
    <w:rsid w:val="00A1262B"/>
    <w:rsid w:val="00A12DE5"/>
    <w:rsid w:val="00A241AF"/>
    <w:rsid w:val="00A2740B"/>
    <w:rsid w:val="00A27FDE"/>
    <w:rsid w:val="00A41934"/>
    <w:rsid w:val="00A41B9B"/>
    <w:rsid w:val="00A421D5"/>
    <w:rsid w:val="00A46061"/>
    <w:rsid w:val="00A54CED"/>
    <w:rsid w:val="00A80C9C"/>
    <w:rsid w:val="00A90F55"/>
    <w:rsid w:val="00AB67B0"/>
    <w:rsid w:val="00AC541E"/>
    <w:rsid w:val="00B0061A"/>
    <w:rsid w:val="00B1256B"/>
    <w:rsid w:val="00B13620"/>
    <w:rsid w:val="00B2684E"/>
    <w:rsid w:val="00B319C4"/>
    <w:rsid w:val="00B32722"/>
    <w:rsid w:val="00B52D8D"/>
    <w:rsid w:val="00B718C2"/>
    <w:rsid w:val="00BC094E"/>
    <w:rsid w:val="00BC42D9"/>
    <w:rsid w:val="00BD38F5"/>
    <w:rsid w:val="00BE1B06"/>
    <w:rsid w:val="00C105F2"/>
    <w:rsid w:val="00C140FF"/>
    <w:rsid w:val="00C5239B"/>
    <w:rsid w:val="00C67409"/>
    <w:rsid w:val="00C71C80"/>
    <w:rsid w:val="00C74329"/>
    <w:rsid w:val="00C8222E"/>
    <w:rsid w:val="00C90486"/>
    <w:rsid w:val="00C930E9"/>
    <w:rsid w:val="00CA2036"/>
    <w:rsid w:val="00CA5C61"/>
    <w:rsid w:val="00CA79FF"/>
    <w:rsid w:val="00CB1938"/>
    <w:rsid w:val="00CD3A72"/>
    <w:rsid w:val="00D0252C"/>
    <w:rsid w:val="00D203A1"/>
    <w:rsid w:val="00D23DB5"/>
    <w:rsid w:val="00D306E3"/>
    <w:rsid w:val="00D312F9"/>
    <w:rsid w:val="00D50F1E"/>
    <w:rsid w:val="00D5169A"/>
    <w:rsid w:val="00D52DF9"/>
    <w:rsid w:val="00D7506B"/>
    <w:rsid w:val="00D827B7"/>
    <w:rsid w:val="00DB081D"/>
    <w:rsid w:val="00DD2868"/>
    <w:rsid w:val="00DD3BD2"/>
    <w:rsid w:val="00DD62DB"/>
    <w:rsid w:val="00DE0341"/>
    <w:rsid w:val="00E0740D"/>
    <w:rsid w:val="00E44819"/>
    <w:rsid w:val="00E525AD"/>
    <w:rsid w:val="00E562B7"/>
    <w:rsid w:val="00E61A3D"/>
    <w:rsid w:val="00E73041"/>
    <w:rsid w:val="00E8103B"/>
    <w:rsid w:val="00E9196C"/>
    <w:rsid w:val="00E9275E"/>
    <w:rsid w:val="00EC5264"/>
    <w:rsid w:val="00F009DC"/>
    <w:rsid w:val="00F65C9E"/>
    <w:rsid w:val="00F81D27"/>
    <w:rsid w:val="00F94602"/>
    <w:rsid w:val="00FA5D20"/>
    <w:rsid w:val="00FC6707"/>
    <w:rsid w:val="00FC6A20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C96C3"/>
  <w15:chartTrackingRefBased/>
  <w15:docId w15:val="{BF9B4B6E-AF32-4B1F-81E2-B13FA76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31"/>
  </w:style>
  <w:style w:type="paragraph" w:styleId="Footer">
    <w:name w:val="footer"/>
    <w:basedOn w:val="Normal"/>
    <w:link w:val="Foot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31"/>
  </w:style>
  <w:style w:type="table" w:styleId="TableGrid">
    <w:name w:val="Table Grid"/>
    <w:basedOn w:val="TableNormal"/>
    <w:uiPriority w:val="39"/>
    <w:rsid w:val="0065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BB8"/>
    <w:rPr>
      <w:vertAlign w:val="superscript"/>
    </w:rPr>
  </w:style>
  <w:style w:type="paragraph" w:customStyle="1" w:styleId="Default">
    <w:name w:val="Default"/>
    <w:rsid w:val="00343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46E7-F0F9-4E3A-8F6F-F53E6CC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Kasey@BSCC</dc:creator>
  <cp:keywords/>
  <dc:description/>
  <cp:lastModifiedBy>VanDePol, Ashley@BSCC</cp:lastModifiedBy>
  <cp:revision>2</cp:revision>
  <cp:lastPrinted>2019-10-10T16:29:00Z</cp:lastPrinted>
  <dcterms:created xsi:type="dcterms:W3CDTF">2020-11-18T20:49:00Z</dcterms:created>
  <dcterms:modified xsi:type="dcterms:W3CDTF">2020-11-18T20:49:00Z</dcterms:modified>
</cp:coreProperties>
</file>